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3C614E" w:rsidRPr="003C614E" w:rsidTr="003C614E">
        <w:trPr>
          <w:tblCellSpacing w:w="0" w:type="dxa"/>
          <w:jc w:val="center"/>
        </w:trPr>
        <w:tc>
          <w:tcPr>
            <w:tcW w:w="4300" w:type="pct"/>
            <w:vAlign w:val="center"/>
            <w:hideMark/>
          </w:tcPr>
          <w:p w:rsidR="003C614E" w:rsidRPr="003C614E" w:rsidRDefault="003C614E" w:rsidP="003C6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14E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3C614E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3C614E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3C614E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3C614E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3C614E" w:rsidRPr="003C614E" w:rsidRDefault="00DB2A31" w:rsidP="003C6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history="1">
        <w:r w:rsidR="003C614E" w:rsidRPr="003C614E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LEI N</w:t>
        </w:r>
        <w:r w:rsidR="003C614E" w:rsidRPr="003C614E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vertAlign w:val="superscript"/>
            <w:lang w:eastAsia="pt-BR"/>
          </w:rPr>
          <w:t>o</w:t>
        </w:r>
        <w:r w:rsidR="003C614E" w:rsidRPr="003C614E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 8.958, DE 20 DE DEZEMBRO DE </w:t>
        </w:r>
        <w:proofErr w:type="gramStart"/>
        <w:r w:rsidR="003C614E" w:rsidRPr="003C614E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1994.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91"/>
        <w:gridCol w:w="4865"/>
      </w:tblGrid>
      <w:tr w:rsidR="003C614E" w:rsidRPr="003C614E" w:rsidTr="003C614E">
        <w:trPr>
          <w:tblCellSpacing w:w="0" w:type="dxa"/>
        </w:trPr>
        <w:tc>
          <w:tcPr>
            <w:tcW w:w="2400" w:type="pct"/>
            <w:vAlign w:val="center"/>
            <w:hideMark/>
          </w:tcPr>
          <w:p w:rsidR="003C614E" w:rsidRPr="003C614E" w:rsidRDefault="00DB2A31" w:rsidP="003C6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" w:history="1">
              <w:r w:rsidR="003C614E" w:rsidRPr="003C614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Regulamento</w:t>
              </w:r>
            </w:hyperlink>
          </w:p>
          <w:p w:rsidR="003C614E" w:rsidRPr="003C614E" w:rsidRDefault="00DB2A31" w:rsidP="003C61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="003C614E" w:rsidRPr="003C614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Regulamento</w:t>
              </w:r>
            </w:hyperlink>
          </w:p>
        </w:tc>
        <w:tc>
          <w:tcPr>
            <w:tcW w:w="2600" w:type="pct"/>
            <w:vAlign w:val="center"/>
            <w:hideMark/>
          </w:tcPr>
          <w:p w:rsidR="003C614E" w:rsidRPr="003C614E" w:rsidRDefault="003C614E" w:rsidP="003C61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14E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Dispõe sobre as relações entre as instituições federais de ensino superior e de pesquisa científica e tecnológica e as fundações de apoio e dá outras providências.</w:t>
            </w:r>
          </w:p>
        </w:tc>
      </w:tr>
    </w:tbl>
    <w:p w:rsidR="003C614E" w:rsidRPr="003C614E" w:rsidRDefault="003C614E" w:rsidP="003C61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        </w:t>
      </w:r>
      <w:proofErr w:type="gramStart"/>
      <w:r w:rsidRPr="003C614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O PRESIDENTE DA REPÚBLICA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Faço</w:t>
      </w:r>
      <w:proofErr w:type="gram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saber que o Congresso Nacional decreta e eu sanciono a seguinte lei:</w:t>
      </w:r>
    </w:p>
    <w:p w:rsidR="003C614E" w:rsidRPr="003C614E" w:rsidRDefault="003C614E" w:rsidP="003C61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As Instituições Federais de Ensino Superior - IFES e as demais Instituições Científicas e Tecnológicas -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de que trata a Lei n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10.973, de </w:t>
      </w:r>
      <w:proofErr w:type="gram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</w:t>
      </w:r>
      <w:proofErr w:type="gram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dezembro de 2004, poderão celebrar convênios e contratos, nos termos do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7" w:anchor="art24xiii" w:history="1">
        <w:r w:rsidRPr="003C614E">
          <w:rPr>
            <w:rFonts w:ascii="Arial" w:eastAsia="Times New Roman" w:hAnsi="Arial" w:cs="Arial"/>
            <w:color w:val="000080"/>
            <w:sz w:val="20"/>
            <w:u w:val="single"/>
            <w:lang w:eastAsia="pt-BR"/>
          </w:rPr>
          <w:t>inciso XIII do </w:t>
        </w:r>
      </w:hyperlink>
      <w:hyperlink r:id="rId8" w:anchor="art24xiii" w:history="1">
        <w:r w:rsidRPr="003C614E">
          <w:rPr>
            <w:rFonts w:ascii="Arial" w:eastAsia="Times New Roman" w:hAnsi="Arial" w:cs="Arial"/>
            <w:color w:val="000080"/>
            <w:sz w:val="20"/>
            <w:u w:val="single"/>
            <w:lang w:eastAsia="pt-BR"/>
          </w:rPr>
          <w:t>caput</w:t>
        </w:r>
        <w:r w:rsidRPr="003C614E">
          <w:rPr>
            <w:rFonts w:ascii="Arial" w:eastAsia="Times New Roman" w:hAnsi="Arial" w:cs="Arial"/>
            <w:i/>
            <w:iCs/>
            <w:color w:val="000080"/>
            <w:sz w:val="20"/>
            <w:u w:val="single"/>
            <w:lang w:eastAsia="pt-BR"/>
          </w:rPr>
          <w:t> </w:t>
        </w:r>
        <w:r w:rsidRPr="003C614E">
          <w:rPr>
            <w:rFonts w:ascii="Arial" w:eastAsia="Times New Roman" w:hAnsi="Arial" w:cs="Arial"/>
            <w:color w:val="000080"/>
            <w:sz w:val="20"/>
            <w:u w:val="single"/>
            <w:lang w:eastAsia="pt-BR"/>
          </w:rPr>
          <w:t>do art. 24 da Lei n</w:t>
        </w:r>
        <w:r w:rsidRPr="003C614E">
          <w:rPr>
            <w:rFonts w:ascii="Arial" w:eastAsia="Times New Roman" w:hAnsi="Arial" w:cs="Arial"/>
            <w:color w:val="000080"/>
            <w:sz w:val="20"/>
            <w:u w:val="single"/>
            <w:vertAlign w:val="superscript"/>
            <w:lang w:eastAsia="pt-BR"/>
          </w:rPr>
          <w:t>o</w:t>
        </w:r>
        <w:r w:rsidRPr="003C614E">
          <w:rPr>
            <w:rFonts w:ascii="Arial" w:eastAsia="Times New Roman" w:hAnsi="Arial" w:cs="Arial"/>
            <w:color w:val="000080"/>
            <w:sz w:val="20"/>
            <w:u w:val="single"/>
            <w:lang w:eastAsia="pt-BR"/>
          </w:rPr>
          <w:t> 8.666, de 21 de junho de 1993</w:t>
        </w:r>
      </w:hyperlink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por prazo determinado, com fundações instituídas com a finalidade de apoiar projetos de ensino, pesquisa, extensão, desenvolvimento institucional, científico e tecnológico e estímulo à inovação, inclusive na gestão administrativa e financeira necessária à execução desses projetos.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9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12.863, de 2013)</w:t>
        </w:r>
      </w:hyperlink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Para os fins do que dispõe esta Lei, </w:t>
      </w:r>
      <w:proofErr w:type="gram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entendem-se</w:t>
      </w:r>
      <w:proofErr w:type="gram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por desenvolvimento institucional os programas, projetos, atividades e operações especiais, inclusive de natureza infraestrutural, material e laboratorial, que levem à melhoria mensurável das condições das IFES e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para cumprimento eficiente e eficaz de sua missão, conforme descrita no plano de desenvolvimento institucional, vedada, em qualquer caso, a contratação de objetos genéricos, desvinculados de projetos específicos. </w:t>
      </w:r>
      <w:hyperlink r:id="rId10" w:anchor="art3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12.349, de 2010)</w:t>
        </w:r>
      </w:hyperlink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A atuação da fundação de apoio em projetos de desenvolvimento institucional para melhoria de infraestrutura limitar-se-á às obras laboratoriais e à aquisição de materiais, equipamentos e outros insumos diretamente relacionados às atividades de inovação e pesquisa científica </w:t>
      </w:r>
      <w:proofErr w:type="gram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tecnológica</w:t>
      </w:r>
      <w:proofErr w:type="gram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 </w:t>
      </w:r>
      <w:hyperlink r:id="rId11" w:anchor="art3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12.349, de 2010)</w:t>
        </w:r>
      </w:hyperlink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É vedado o enquadramento no conceito de desenvolvimento institucional, quando financiadas com recursos repassados pelas IFES e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às fundações de apoio, de: </w:t>
      </w:r>
      <w:hyperlink r:id="rId12" w:anchor="art3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12.349, de 2010)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atividades como manutenção predial ou infraestrutural, conservação, limpeza, vigilância, reparos,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copeiragem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recepção, secretariado, serviços administrativos na área de informática, gráficos, reprográficos e de telefonia e demais atividades administrativas de rotina, bem como as respectivas expansões vegetativas, inclusive por meio do aumento no número total de pessoal; e </w:t>
      </w:r>
      <w:hyperlink r:id="rId13" w:anchor="art3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12.349, de 2010)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outras tarefas que não estejam objetivamente definidas no Plano de Desenvolvimento Institucional da instituição apoiada. </w:t>
      </w:r>
      <w:hyperlink r:id="rId14" w:anchor="art3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12.349, de 2010)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4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É vedada a subcontratação total do objeto dos ajustes realizados pelas IFES e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 as fundações de apoio, com base no disposto nesta Lei, bem como a subcontratação parcial que delegue a terceiros a execução do núcleo do objeto contratado.  </w:t>
      </w:r>
      <w:hyperlink r:id="rId15" w:anchor="art3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12.349, de 2010)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5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Os materiais e equipamentos adquiridos com recursos transferidos com fundamento no § 2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integrarão o patrimônio da contratante.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16" w:anchor="art3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12.349, de 2010)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Art. 1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-A.  A Financiadora de Estudos e Projetos - FINEP, como secretaria executiva do Fundo Nacional de Desenvolvimento Científico e Tecnológico - FNDCT, o Conselho Nacional de Desenvolvimento Científico e Tecnológico - CNPq, as agências financeiras oficiais de fomento e empresas públicas ou sociedades de economia mista, suas subsidiárias ou controladas, poderão celebrar convênios e contratos, nos termos do inciso XIII do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caput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art. 24 da Lei n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8.666, de 21 de junho de 1993, por prazo determinado, com as fundações de apoio, com finalidade de dar apoio às IFES e às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inclusive na gestão administrativa e financeira dos projetos mencionados no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caput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art. 1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com a anuência expressa das instituições apoiadas.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17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-B.  As organizações sociais e entidades privadas poderão realizar convênios e contratos, por prazo determinado, com as fundações de apoio, com a finalidade de dar apoio às IFES e às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inclusive na gestão administrativa e financeira dos projetos mencionados no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caput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art. 1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com a anuência expressa das instituições apoiadas.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18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</w:hyperlink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19" w:anchor="art1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(Regulamento)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único.  A celebração de convênios entre a IFES ou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apoiadas, fundação de apoio, entidades privadas, empresas públicas ou sociedades de economia mista, suas subsidiárias ou controladas, e organizações sociais, para finalidades de pesquisa, desenvolvimento, estímulo e fomento à inovação, será realizada mediante critérios de habilitação das empresas, regulamentados em ato do Poder Executivo federal, não se aplicando nesses casos a legislação federal que institui normas para licitações e contratos da administração pública para a identificação e escolha das empresas convenentes.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20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-C.  Os convênios de que trata esta Lei serão regulamentados por ato do Poder Executivo federal.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21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As fundações a que se refere o art. 1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deverão estar constituídas na forma de fundações de direito privado, sem fins lucrativos, regidas pela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22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Lei n</w:t>
        </w:r>
        <w:r w:rsidRPr="003C614E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 10.406, de 10 de janeiro de 2002</w:t>
        </w:r>
      </w:hyperlink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Código Civil, e por estatutos cujas normas expressamente disponham sobre a observância dos princípios da legalidade, impessoalidade, moralidade, publicidade, economicidade e eficiência, e sujeitas, em especial: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23" w:anchor="art3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12.349, de 2010)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 - a fiscalização pelo Ministério Público, nos termos do Código Civil e do Código de Processo Civil;</w:t>
      </w:r>
    </w:p>
    <w:p w:rsidR="003C614E" w:rsidRPr="003C614E" w:rsidRDefault="003C614E" w:rsidP="003C61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 - à legislação trabalhista;</w:t>
      </w:r>
    </w:p>
    <w:p w:rsidR="003C614E" w:rsidRPr="003C614E" w:rsidRDefault="003C614E" w:rsidP="003C61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III - ao prévio registro e credenciamento no Ministério da Educação e do Desporto e no Ministério da Ciência e Tecnologia, renovável bienalmente.</w:t>
      </w:r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  Em caso de renovação do credenciamento, prevista no inciso III do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caput, o Conselho Superior ou o órgão competente da instituição federal a ser apoiada deverá se manifestar quanto ao cumprimento pela fundação de apoio das disposições contidas no art. 4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-A.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24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Na execução de convênios, contratos, acordos e demais ajustes abrangidos por esta Lei, inclusive daqueles que envolvam recursos provenientes do poder público, as fundações de apoio adotarão regulamento específico de aquisições e contratações de obras e serviços, a ser editado por meio de ato do Poder Executivo federal.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25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12.863, de 2013)</w:t>
        </w:r>
      </w:hyperlink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2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Regulamento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(revogado);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27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(revogado);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28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(revogado);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29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(revogado).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30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§ 1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As fundações de apoio, com a anuência expressa das instituições apoiadas, poderão captar e receber diretamente os recursos financeiros necessários à formação e à execução dos projetos de pesquisa, desenvolvimento e inovação, sem ingresso na Conta Única do Tesouro Nacional.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31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§ 2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  As fundações de apoio não poderão: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32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I - contratar cônjuge, companheiro ou parente, em linha reta ou colateral, por consanguinidade ou afinidade, até o terceiro grau, de: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33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a) servidor das IFES e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que atue na direção das respectivas fundações; e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34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b) ocupantes de cargos de direção superior das IFES e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por elas apoiadas;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35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II - contratar, sem licitação, pessoa jurídica que tenha como proprietário, sócio ou cotista: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36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a) seu dirigente;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37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b) servidor das IFES e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; e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38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c) cônjuge, companheiro ou parente em linha reta ou colateral, por consanguinidade ou afinidade, até o terceiro grau de seu dirigente ou de servidor das IFES e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por elas apoiadas; e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39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III - utilizar recursos em finalidade diversa da prevista nos projetos de ensino, pesquisa e extensão e de desenvolvimento institucional, científico e tecnológico e de estímulo à inovação.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40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Art. 3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-A.  Na execução de convênios, contratos, acordos e demais ajustes na forma desta Lei, as fundações de apoio deverão: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41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I - prestar contas dos recursos aplicados aos entes financiadores;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42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II - submeter-se ao controle de gestão pelo órgão máximo da Instituição Federal de Ensino ou similar da entidade contratante; e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43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III - submeter-se ao controle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finalístico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pelo órgão de controle governamental competente.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44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4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As IFES e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contratantes poderão autorizar, de acordo com as normas aprovadas pelo órgão de direção superior competente e limites e condições previstos em regulamento, a participação de seus servidores nas atividades realizadas pelas fundações referidas no art. 1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desta Lei, sem prejuízo de suas atribuições funcionais. </w:t>
      </w:r>
      <w:hyperlink r:id="rId45" w:anchor="art3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12.349, de 2010)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A participação de servidores das IFES e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contratantes nas atividades previstas no art. 1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desta Lei, autorizada nos termos deste artigo, não cria vínculo empregatício de qualquer natureza, podendo as fundações contratadas, para sua execução, conceder bolsas de ensino, de pesquisa e de extensão, de acordo com os parâmetros a serem fixados em regulamento.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46" w:anchor="art3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12.349, de 2010)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§ 2º É </w:t>
      </w:r>
      <w:proofErr w:type="gram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vedada aos servidores públicos federais</w:t>
      </w:r>
      <w:proofErr w:type="gram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participação nas atividades referidas no caput durante a jornada de trabalho a que estão sujeitos, excetuada a colaboração esporádica, remunerada ou não, em assuntos de sua especialidade, de acordo com as normas referidas no caput.</w:t>
      </w:r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§ 3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É vedada a utilização dos contratados referidos no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caput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 contratação de pessoal administrativo, de manutenção, docentes ou pesquisadores para prestar serviços ou atender a necessidades de caráter permanente das contratantes.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47" w:anchor="art3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12.349, de 2010)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4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Os servidores ocupantes de cargo em comissão ou função de confiança nas IFES e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poderão desenvolver atividades de ensino, pesquisa e extensão no âmbito dos projetos apoiados pelas fundações de apoio com recebimento de bolsas.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48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§ 5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  É permitida a participação não remunerada de servidores das IFES e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nos órgãos de direção de Fundações de Apoio, não lhes sendo aplicável o disposto no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49" w:anchor="art117x" w:history="1">
        <w:r w:rsidRPr="003C614E">
          <w:rPr>
            <w:rFonts w:ascii="Arial" w:eastAsia="Times New Roman" w:hAnsi="Arial" w:cs="Arial"/>
            <w:color w:val="000080"/>
            <w:sz w:val="20"/>
            <w:u w:val="single"/>
            <w:lang w:eastAsia="pt-BR"/>
          </w:rPr>
          <w:t>inciso X do </w:t>
        </w:r>
      </w:hyperlink>
      <w:hyperlink r:id="rId50" w:anchor="art117x" w:history="1">
        <w:r w:rsidRPr="003C614E">
          <w:rPr>
            <w:rFonts w:ascii="Arial" w:eastAsia="Times New Roman" w:hAnsi="Arial" w:cs="Arial"/>
            <w:color w:val="000080"/>
            <w:sz w:val="20"/>
            <w:u w:val="single"/>
            <w:lang w:eastAsia="pt-BR"/>
          </w:rPr>
          <w:t>caput</w:t>
        </w:r>
        <w:r w:rsidRPr="003C614E">
          <w:rPr>
            <w:rFonts w:ascii="Arial" w:eastAsia="Times New Roman" w:hAnsi="Arial" w:cs="Arial"/>
            <w:i/>
            <w:iCs/>
            <w:color w:val="000080"/>
            <w:sz w:val="20"/>
            <w:u w:val="single"/>
            <w:lang w:eastAsia="pt-BR"/>
          </w:rPr>
          <w:t> </w:t>
        </w:r>
        <w:r w:rsidRPr="003C614E">
          <w:rPr>
            <w:rFonts w:ascii="Arial" w:eastAsia="Times New Roman" w:hAnsi="Arial" w:cs="Arial"/>
            <w:color w:val="000080"/>
            <w:sz w:val="20"/>
            <w:u w:val="single"/>
            <w:lang w:eastAsia="pt-BR"/>
          </w:rPr>
          <w:t>do art. 117 da Lei n</w:t>
        </w:r>
        <w:r w:rsidRPr="003C614E">
          <w:rPr>
            <w:rFonts w:ascii="Arial" w:eastAsia="Times New Roman" w:hAnsi="Arial" w:cs="Arial"/>
            <w:color w:val="000080"/>
            <w:sz w:val="20"/>
            <w:u w:val="single"/>
            <w:vertAlign w:val="superscript"/>
            <w:lang w:eastAsia="pt-BR"/>
          </w:rPr>
          <w:t>o</w:t>
        </w:r>
        <w:r w:rsidRPr="003C614E">
          <w:rPr>
            <w:rFonts w:ascii="Arial" w:eastAsia="Times New Roman" w:hAnsi="Arial" w:cs="Arial"/>
            <w:color w:val="000080"/>
            <w:sz w:val="20"/>
            <w:u w:val="single"/>
            <w:lang w:eastAsia="pt-BR"/>
          </w:rPr>
          <w:t> 8.112, de 11 de dezembro de 1990</w:t>
        </w:r>
      </w:hyperlink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51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§ 6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  Não se aplica o disposto no § 5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aos servidores das IFES e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investidos em cargo em comissão ou função de confiança.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52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§ 7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  Os servidores das IFES e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somente poderão participar de atividades nas fundações de apoio quando não houver prejuízo ao cumprimento de sua jornada de trabalho na entidade de origem, ressalvada a hipótese de cessão especial prevista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no</w:t>
      </w:r>
      <w:hyperlink r:id="rId53" w:anchor="art20§4ii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inciso</w:t>
        </w:r>
        <w:proofErr w:type="spellEnd"/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II do § 4</w:t>
        </w:r>
        <w:r w:rsidRPr="003C614E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 do art. 20 da Lei n</w:t>
        </w:r>
        <w:r w:rsidRPr="003C614E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 12.772, </w:t>
        </w:r>
      </w:hyperlink>
      <w:hyperlink r:id="rId54" w:anchor="art20§4ii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de 28 de dezembro de 2012</w:t>
        </w:r>
      </w:hyperlink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55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4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-A. 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Serão divulgados, na íntegra, em sítio mantido pela fundação de apoio na rede mundial de computadores - internet: </w:t>
      </w:r>
      <w:hyperlink r:id="rId56" w:anchor="art4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12.349, de 2010)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os instrumentos contratuais de que trata esta Lei, firmados e mantidos pela fundação de apoio com as IFES e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bem como com a FINEP, o CNPq e as Agências Financeiras Oficiais de Fomento; </w:t>
      </w:r>
      <w:hyperlink r:id="rId57" w:anchor="art4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12.349, de 2010)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os relatórios semestrais de execução dos contratos de que trata o inciso I, indicando os valores executados, as atividades, as obras e os serviços realizados, discriminados por projeto, unidade acadêmica ou pesquisa beneficiária; </w:t>
      </w:r>
      <w:hyperlink r:id="rId58" w:anchor="art4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12.349, de 2010)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a relação dos pagamentos efetuados a servidores ou agentes públicos de qualquer natureza em decorrência dos contratos de que trata o inciso I; </w:t>
      </w:r>
      <w:hyperlink r:id="rId59" w:anchor="art4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12.349, de 2010)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a relação dos pagamentos de qualquer natureza efetuados a pessoas físicas e jurídicas em decorrência dos contratos de que trata o inciso I; e </w:t>
      </w:r>
      <w:hyperlink r:id="rId60" w:anchor="art4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12.349, de 2010)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 - as prestações de contas dos instrumentos contratuais de que trata esta Lei, firmados e mantidos pela fundação de apoio com as IFES e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bem como com a FINEP, o CNPq e as Agências Financeiras Oficiais de Fomento.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61" w:anchor="art4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12.349, de 2010)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pacing w:val="-2"/>
          <w:sz w:val="20"/>
          <w:szCs w:val="20"/>
          <w:shd w:val="clear" w:color="auto" w:fill="FFFFFF"/>
          <w:lang w:eastAsia="pt-BR"/>
        </w:rPr>
        <w:t>Art. 4</w:t>
      </w:r>
      <w:r w:rsidRPr="003C614E">
        <w:rPr>
          <w:rFonts w:ascii="Arial" w:eastAsia="Times New Roman" w:hAnsi="Arial" w:cs="Arial"/>
          <w:color w:val="000000"/>
          <w:spacing w:val="-2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pacing w:val="-2"/>
          <w:sz w:val="20"/>
          <w:szCs w:val="20"/>
          <w:shd w:val="clear" w:color="auto" w:fill="FFFFFF"/>
          <w:lang w:eastAsia="pt-BR"/>
        </w:rPr>
        <w:t xml:space="preserve">-B.  As fundações de apoio poderão conceder bolsas de ensino, pesquisa e extensão e de estímulo à inovação aos estudantes de cursos técnicos, de graduação e pós-graduação e aos servidores vinculados a projetos institucionais, inclusive em rede, das IFES e demais </w:t>
      </w:r>
      <w:proofErr w:type="spellStart"/>
      <w:r w:rsidRPr="003C614E">
        <w:rPr>
          <w:rFonts w:ascii="Arial" w:eastAsia="Times New Roman" w:hAnsi="Arial" w:cs="Arial"/>
          <w:color w:val="000000"/>
          <w:spacing w:val="-2"/>
          <w:sz w:val="20"/>
          <w:szCs w:val="20"/>
          <w:shd w:val="clear" w:color="auto" w:fill="FFFFFF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pacing w:val="-2"/>
          <w:sz w:val="20"/>
          <w:szCs w:val="20"/>
          <w:shd w:val="clear" w:color="auto" w:fill="FFFFFF"/>
          <w:lang w:eastAsia="pt-BR"/>
        </w:rPr>
        <w:t xml:space="preserve"> apoiadas, na forma da regulamentação específica, observados os princípios referidos no art. 2</w:t>
      </w:r>
      <w:r w:rsidRPr="003C614E">
        <w:rPr>
          <w:rFonts w:ascii="Arial" w:eastAsia="Times New Roman" w:hAnsi="Arial" w:cs="Arial"/>
          <w:color w:val="000000"/>
          <w:spacing w:val="-2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pacing w:val="-2"/>
          <w:sz w:val="20"/>
          <w:szCs w:val="20"/>
          <w:shd w:val="clear" w:color="auto" w:fill="FFFFFF"/>
          <w:lang w:eastAsia="pt-BR"/>
        </w:rPr>
        <w:t>.</w:t>
      </w:r>
      <w:r w:rsidRPr="003C614E">
        <w:rPr>
          <w:rFonts w:ascii="Arial" w:eastAsia="Times New Roman" w:hAnsi="Arial" w:cs="Arial"/>
          <w:color w:val="000000"/>
          <w:spacing w:val="-2"/>
          <w:sz w:val="20"/>
          <w:lang w:eastAsia="pt-BR"/>
        </w:rPr>
        <w:t> </w:t>
      </w:r>
      <w:hyperlink r:id="rId62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Art. 4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-C.  É assegurado o acesso dos órgãos e das entidades públicas concedentes ou contratantes e do Sistema de Controle Interno do Poder Executivo federal aos processos, aos documentos e às informações referentes aos recursos públicos recebidos pelas fundações de apoio enquadradas na situação prevista no art. 1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e aos locais de execução do objeto do contrato ou convênio.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63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Art. 4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-D.  A movimentação dos recursos dos projetos gerenciados pelas fundações de apoio deverá ser realizada exclusivamente por meio eletrônico, mediante crédito em conta corrente de titularidade dos fornecedores e prestadores de serviços devidamente identificados.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64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lastRenderedPageBreak/>
        <w:t>§ 1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  Poderão ser realizados, mediante justificativa circunstanciada e em caráter excepcional, saques para pagamento em dinheiro a pessoas físicas que não possuam conta bancária ou saques para atender a despesas de pequeno vulto, definidas em regulamento específico previsto no art. 3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desta Lei, adotando-se, em ambas as hipóteses, mecanismos que permitam a identificação do beneficiário final, devendo as informações sobre tais pagamentos constar em item específico da prestação de contas.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65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§ 2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  Os recursos provenientes de convênios, contratos, acordos e demais ajustes que envolvam recursos públicos gerenciados pelas fundações de apoio deverão ser mantidos em contas específicas abertas para cada projeto.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66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§ 3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  As fundações de apoio deverão garantir o controle contábil específico dos recursos aportados e utilizados em cada projeto, de forma a garantir o ressarcimento às IFES, previsto no art. 6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desta Lei.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67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5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Fica vedado às IFES e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contratantes o pagamento de débitos contraídos pelas instituições contratadas na forma desta Lei e a responsabilidade a qualquer título, em relação ao pessoal por </w:t>
      </w:r>
      <w:proofErr w:type="gram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estas contratado</w:t>
      </w:r>
      <w:proofErr w:type="gram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inclusive na utilização de pessoal da instituição, conforme previsto no art. 4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desta Lei.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68" w:anchor="art3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12.349, de 2010)</w:t>
        </w:r>
      </w:hyperlink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6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No cumprimento das finalidades referidas nesta Lei, poderão as fundações de apoio, por meio de instrumento legal próprio, utilizar-se de bens e serviços das IFES e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apoiadas, pelo prazo necessário à elaboração e execução do projeto de ensino, pesquisa e extensão e de desenvolvimento institucional, científico e tecnológico e de estímulo à inovação, mediante ressarcimento previamente definido para cada projeto.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69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Nos projetos que envolvam risco tecnológico, para solução de problema técnico específico ou obtenção de produto ou processo inovador, o uso de bens e serviços das IFES ou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poderá ser contabilizado como contrapartida da instituição ao projeto, mediante previsão contratual de participação da instituição nos ganhos econômicos dele derivados, na forma da Lei n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10.973, de </w:t>
      </w:r>
      <w:proofErr w:type="gram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</w:t>
      </w:r>
      <w:proofErr w:type="gram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dezembro de 2004.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70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</w:hyperlink>
    </w:p>
    <w:p w:rsidR="003C614E" w:rsidRPr="003C614E" w:rsidRDefault="003C614E" w:rsidP="003C614E">
      <w:pPr>
        <w:spacing w:before="100" w:beforeAutospacing="1" w:after="100" w:afterAutospacing="1" w:line="240" w:lineRule="auto"/>
        <w:ind w:firstLine="85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Na hipótese de que trata o § 1</w:t>
      </w:r>
      <w:r w:rsidRPr="003C614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 ressarcimento previsto no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caput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poderá ser dispensado, mediante justificativa circunstanciada constante no projeto a ser aprovado pelo Conselho Superior das IFES ou órgão competente nas demais </w:t>
      </w:r>
      <w:proofErr w:type="spellStart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ICTs</w:t>
      </w:r>
      <w:proofErr w:type="spellEnd"/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  <w:r w:rsidRPr="003C614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71" w:anchor="art6" w:history="1">
        <w:r w:rsidRPr="003C614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12.863, de 2013)</w:t>
        </w:r>
        <w:proofErr w:type="gramStart"/>
      </w:hyperlink>
      <w:proofErr w:type="gramEnd"/>
    </w:p>
    <w:p w:rsidR="003C614E" w:rsidRPr="003C614E" w:rsidRDefault="003C614E" w:rsidP="003C61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 7º Esta lei entra em vigor na data de sua publicação.</w:t>
      </w:r>
    </w:p>
    <w:p w:rsidR="003C614E" w:rsidRPr="003C614E" w:rsidRDefault="003C614E" w:rsidP="003C61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Brasília, 20 de dezembro de 1994; 173º da Independência e 106º da República.</w:t>
      </w:r>
    </w:p>
    <w:p w:rsidR="003C614E" w:rsidRPr="003C614E" w:rsidRDefault="003C614E" w:rsidP="003C61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ITAMAR FRANCO</w:t>
      </w:r>
      <w:r w:rsidRPr="003C61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3C614E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 xml:space="preserve">Murílio de Avelar </w:t>
      </w:r>
      <w:proofErr w:type="spellStart"/>
      <w:r w:rsidRPr="003C614E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Hingel</w:t>
      </w:r>
      <w:proofErr w:type="spellEnd"/>
      <w:r w:rsidRPr="003C614E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</w:r>
      <w:r w:rsidRPr="003C614E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José Israel Vargas</w:t>
      </w:r>
    </w:p>
    <w:p w:rsidR="003C614E" w:rsidRPr="003C614E" w:rsidRDefault="003C614E" w:rsidP="003C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C614E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  21.12.1994</w:t>
      </w:r>
    </w:p>
    <w:p w:rsidR="009440E2" w:rsidRDefault="009440E2"/>
    <w:sectPr w:rsidR="009440E2" w:rsidSect="003C614E">
      <w:pgSz w:w="11906" w:h="16838" w:code="9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614E"/>
    <w:rsid w:val="003C614E"/>
    <w:rsid w:val="004048A9"/>
    <w:rsid w:val="008933DF"/>
    <w:rsid w:val="009440E2"/>
    <w:rsid w:val="00DB2A31"/>
    <w:rsid w:val="00DC5B39"/>
    <w:rsid w:val="00EA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614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C614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C614E"/>
  </w:style>
  <w:style w:type="paragraph" w:customStyle="1" w:styleId="texto2">
    <w:name w:val="texto2"/>
    <w:basedOn w:val="Normal"/>
    <w:rsid w:val="003C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C61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analto.gov.br/ccivil_03/_Ato2007-2010/2010/Lei/L12349.htm" TargetMode="External"/><Relationship Id="rId18" Type="http://schemas.openxmlformats.org/officeDocument/2006/relationships/hyperlink" Target="http://www.planalto.gov.br/ccivil_03/_Ato2011-2014/2013/Lei/L12863.htm" TargetMode="External"/><Relationship Id="rId26" Type="http://schemas.openxmlformats.org/officeDocument/2006/relationships/hyperlink" Target="http://www.planalto.gov.br/ccivil_03/_Ato2011-2014/2014/Decreto/D8241.htm" TargetMode="External"/><Relationship Id="rId39" Type="http://schemas.openxmlformats.org/officeDocument/2006/relationships/hyperlink" Target="http://www.planalto.gov.br/ccivil_03/_Ato2011-2014/2013/Lei/L12863.htm" TargetMode="External"/><Relationship Id="rId21" Type="http://schemas.openxmlformats.org/officeDocument/2006/relationships/hyperlink" Target="http://www.planalto.gov.br/ccivil_03/_Ato2011-2014/2013/Lei/L12863.htm" TargetMode="External"/><Relationship Id="rId34" Type="http://schemas.openxmlformats.org/officeDocument/2006/relationships/hyperlink" Target="http://www.planalto.gov.br/ccivil_03/_Ato2011-2014/2013/Lei/L12863.htm" TargetMode="External"/><Relationship Id="rId42" Type="http://schemas.openxmlformats.org/officeDocument/2006/relationships/hyperlink" Target="http://www.planalto.gov.br/ccivil_03/_Ato2011-2014/2013/Lei/L12863.htm" TargetMode="External"/><Relationship Id="rId47" Type="http://schemas.openxmlformats.org/officeDocument/2006/relationships/hyperlink" Target="http://www.planalto.gov.br/ccivil_03/_Ato2007-2010/2010/Lei/L12349.htm" TargetMode="External"/><Relationship Id="rId50" Type="http://schemas.openxmlformats.org/officeDocument/2006/relationships/hyperlink" Target="http://www.planalto.gov.br/ccivil_03/leis/L8112cons.htm" TargetMode="External"/><Relationship Id="rId55" Type="http://schemas.openxmlformats.org/officeDocument/2006/relationships/hyperlink" Target="http://www.planalto.gov.br/ccivil_03/_Ato2011-2014/2013/Lei/L12863.htm" TargetMode="External"/><Relationship Id="rId63" Type="http://schemas.openxmlformats.org/officeDocument/2006/relationships/hyperlink" Target="http://www.planalto.gov.br/ccivil_03/_Ato2011-2014/2013/Lei/L12863.htm" TargetMode="External"/><Relationship Id="rId68" Type="http://schemas.openxmlformats.org/officeDocument/2006/relationships/hyperlink" Target="http://www.planalto.gov.br/ccivil_03/_Ato2007-2010/2010/Lei/L12349.htm" TargetMode="External"/><Relationship Id="rId7" Type="http://schemas.openxmlformats.org/officeDocument/2006/relationships/hyperlink" Target="http://www.planalto.gov.br/ccivil_03/leis/L8666cons.htm" TargetMode="External"/><Relationship Id="rId71" Type="http://schemas.openxmlformats.org/officeDocument/2006/relationships/hyperlink" Target="http://www.planalto.gov.br/ccivil_03/_Ato2011-2014/2013/Lei/L12863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lanalto.gov.br/ccivil_03/_Ato2007-2010/2010/Lei/L12349.htm" TargetMode="External"/><Relationship Id="rId29" Type="http://schemas.openxmlformats.org/officeDocument/2006/relationships/hyperlink" Target="http://www.planalto.gov.br/ccivil_03/_Ato2011-2014/2013/Lei/L12863.htm" TargetMode="External"/><Relationship Id="rId11" Type="http://schemas.openxmlformats.org/officeDocument/2006/relationships/hyperlink" Target="http://www.planalto.gov.br/ccivil_03/_Ato2007-2010/2010/Lei/L12349.htm" TargetMode="External"/><Relationship Id="rId24" Type="http://schemas.openxmlformats.org/officeDocument/2006/relationships/hyperlink" Target="http://www.planalto.gov.br/ccivil_03/_Ato2011-2014/2013/Lei/L12863.htm" TargetMode="External"/><Relationship Id="rId32" Type="http://schemas.openxmlformats.org/officeDocument/2006/relationships/hyperlink" Target="http://www.planalto.gov.br/ccivil_03/_Ato2011-2014/2013/Lei/L12863.htm" TargetMode="External"/><Relationship Id="rId37" Type="http://schemas.openxmlformats.org/officeDocument/2006/relationships/hyperlink" Target="http://www.planalto.gov.br/ccivil_03/_Ato2011-2014/2013/Lei/L12863.htm" TargetMode="External"/><Relationship Id="rId40" Type="http://schemas.openxmlformats.org/officeDocument/2006/relationships/hyperlink" Target="http://www.planalto.gov.br/ccivil_03/_Ato2011-2014/2013/Lei/L12863.htm" TargetMode="External"/><Relationship Id="rId45" Type="http://schemas.openxmlformats.org/officeDocument/2006/relationships/hyperlink" Target="http://www.planalto.gov.br/ccivil_03/_Ato2007-2010/2010/Lei/L12349.htm" TargetMode="External"/><Relationship Id="rId53" Type="http://schemas.openxmlformats.org/officeDocument/2006/relationships/hyperlink" Target="http://www.planalto.gov.br/ccivil_03/_Ato2011-2014/2012/Lei/L12772.htm" TargetMode="External"/><Relationship Id="rId58" Type="http://schemas.openxmlformats.org/officeDocument/2006/relationships/hyperlink" Target="http://www.planalto.gov.br/ccivil_03/_Ato2007-2010/2010/Lei/L12349.htm" TargetMode="External"/><Relationship Id="rId66" Type="http://schemas.openxmlformats.org/officeDocument/2006/relationships/hyperlink" Target="http://www.planalto.gov.br/ccivil_03/_Ato2011-2014/2013/Lei/L12863.htm" TargetMode="External"/><Relationship Id="rId5" Type="http://schemas.openxmlformats.org/officeDocument/2006/relationships/hyperlink" Target="http://www.planalto.gov.br/ccivil_03/_Ato2004-2006/2004/Decreto/D5205.htm" TargetMode="External"/><Relationship Id="rId15" Type="http://schemas.openxmlformats.org/officeDocument/2006/relationships/hyperlink" Target="http://www.planalto.gov.br/ccivil_03/_Ato2007-2010/2010/Lei/L12349.htm" TargetMode="External"/><Relationship Id="rId23" Type="http://schemas.openxmlformats.org/officeDocument/2006/relationships/hyperlink" Target="http://www.planalto.gov.br/ccivil_03/_Ato2007-2010/2010/Lei/L12349.htm" TargetMode="External"/><Relationship Id="rId28" Type="http://schemas.openxmlformats.org/officeDocument/2006/relationships/hyperlink" Target="http://www.planalto.gov.br/ccivil_03/_Ato2011-2014/2013/Lei/L12863.htm" TargetMode="External"/><Relationship Id="rId36" Type="http://schemas.openxmlformats.org/officeDocument/2006/relationships/hyperlink" Target="http://www.planalto.gov.br/ccivil_03/_Ato2011-2014/2013/Lei/L12863.htm" TargetMode="External"/><Relationship Id="rId49" Type="http://schemas.openxmlformats.org/officeDocument/2006/relationships/hyperlink" Target="http://www.planalto.gov.br/ccivil_03/leis/L8112cons.htm" TargetMode="External"/><Relationship Id="rId57" Type="http://schemas.openxmlformats.org/officeDocument/2006/relationships/hyperlink" Target="http://www.planalto.gov.br/ccivil_03/_Ato2007-2010/2010/Lei/L12349.htm" TargetMode="External"/><Relationship Id="rId61" Type="http://schemas.openxmlformats.org/officeDocument/2006/relationships/hyperlink" Target="http://www.planalto.gov.br/ccivil_03/_Ato2007-2010/2010/Lei/L12349.htm" TargetMode="External"/><Relationship Id="rId10" Type="http://schemas.openxmlformats.org/officeDocument/2006/relationships/hyperlink" Target="http://www.planalto.gov.br/ccivil_03/_Ato2007-2010/2010/Lei/L12349.htm" TargetMode="External"/><Relationship Id="rId19" Type="http://schemas.openxmlformats.org/officeDocument/2006/relationships/hyperlink" Target="http://www.planalto.gov.br/ccivil_03/_Ato2011-2014/2014/Decreto/D8240.htm" TargetMode="External"/><Relationship Id="rId31" Type="http://schemas.openxmlformats.org/officeDocument/2006/relationships/hyperlink" Target="http://www.planalto.gov.br/ccivil_03/_Ato2011-2014/2013/Lei/L12863.htm" TargetMode="External"/><Relationship Id="rId44" Type="http://schemas.openxmlformats.org/officeDocument/2006/relationships/hyperlink" Target="http://www.planalto.gov.br/ccivil_03/_Ato2011-2014/2013/Lei/L12863.htm" TargetMode="External"/><Relationship Id="rId52" Type="http://schemas.openxmlformats.org/officeDocument/2006/relationships/hyperlink" Target="http://www.planalto.gov.br/ccivil_03/_Ato2011-2014/2013/Lei/L12863.htm" TargetMode="External"/><Relationship Id="rId60" Type="http://schemas.openxmlformats.org/officeDocument/2006/relationships/hyperlink" Target="http://www.planalto.gov.br/ccivil_03/_Ato2007-2010/2010/Lei/L12349.htm" TargetMode="External"/><Relationship Id="rId65" Type="http://schemas.openxmlformats.org/officeDocument/2006/relationships/hyperlink" Target="http://www.planalto.gov.br/ccivil_03/_Ato2011-2014/2013/Lei/L12863.htm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legislacao.planalto.gov.br/legisla/legislacao.nsf/Viw_Identificacao/lei%208.958-1994?OpenDocument" TargetMode="External"/><Relationship Id="rId9" Type="http://schemas.openxmlformats.org/officeDocument/2006/relationships/hyperlink" Target="http://www.planalto.gov.br/ccivil_03/_Ato2011-2014/2013/Lei/L12863.htm" TargetMode="External"/><Relationship Id="rId14" Type="http://schemas.openxmlformats.org/officeDocument/2006/relationships/hyperlink" Target="http://www.planalto.gov.br/ccivil_03/_Ato2007-2010/2010/Lei/L12349.htm" TargetMode="External"/><Relationship Id="rId22" Type="http://schemas.openxmlformats.org/officeDocument/2006/relationships/hyperlink" Target="http://www.planalto.gov.br/ccivil_03/leis/2002/L10406.htm" TargetMode="External"/><Relationship Id="rId27" Type="http://schemas.openxmlformats.org/officeDocument/2006/relationships/hyperlink" Target="http://www.planalto.gov.br/ccivil_03/_Ato2011-2014/2013/Lei/L12863.htm" TargetMode="External"/><Relationship Id="rId30" Type="http://schemas.openxmlformats.org/officeDocument/2006/relationships/hyperlink" Target="http://www.planalto.gov.br/ccivil_03/_Ato2011-2014/2013/Lei/L12863.htm" TargetMode="External"/><Relationship Id="rId35" Type="http://schemas.openxmlformats.org/officeDocument/2006/relationships/hyperlink" Target="http://www.planalto.gov.br/ccivil_03/_Ato2011-2014/2013/Lei/L12863.htm" TargetMode="External"/><Relationship Id="rId43" Type="http://schemas.openxmlformats.org/officeDocument/2006/relationships/hyperlink" Target="http://www.planalto.gov.br/ccivil_03/_Ato2011-2014/2013/Lei/L12863.htm" TargetMode="External"/><Relationship Id="rId48" Type="http://schemas.openxmlformats.org/officeDocument/2006/relationships/hyperlink" Target="http://www.planalto.gov.br/ccivil_03/_Ato2011-2014/2013/Lei/L12863.htm" TargetMode="External"/><Relationship Id="rId56" Type="http://schemas.openxmlformats.org/officeDocument/2006/relationships/hyperlink" Target="http://www.planalto.gov.br/ccivil_03/_Ato2007-2010/2010/Lei/L12349.htm" TargetMode="External"/><Relationship Id="rId64" Type="http://schemas.openxmlformats.org/officeDocument/2006/relationships/hyperlink" Target="http://www.planalto.gov.br/ccivil_03/_Ato2011-2014/2013/Lei/L12863.htm" TargetMode="External"/><Relationship Id="rId69" Type="http://schemas.openxmlformats.org/officeDocument/2006/relationships/hyperlink" Target="http://www.planalto.gov.br/ccivil_03/_Ato2011-2014/2013/Lei/L12863.htm" TargetMode="External"/><Relationship Id="rId8" Type="http://schemas.openxmlformats.org/officeDocument/2006/relationships/hyperlink" Target="http://www.planalto.gov.br/ccivil_03/leis/L8666cons.htm" TargetMode="External"/><Relationship Id="rId51" Type="http://schemas.openxmlformats.org/officeDocument/2006/relationships/hyperlink" Target="http://www.planalto.gov.br/ccivil_03/_Ato2011-2014/2013/Lei/L12863.ht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planalto.gov.br/ccivil_03/_Ato2007-2010/2010/Lei/L12349.htm" TargetMode="External"/><Relationship Id="rId17" Type="http://schemas.openxmlformats.org/officeDocument/2006/relationships/hyperlink" Target="http://www.planalto.gov.br/ccivil_03/_Ato2011-2014/2013/Lei/L12863.htm" TargetMode="External"/><Relationship Id="rId25" Type="http://schemas.openxmlformats.org/officeDocument/2006/relationships/hyperlink" Target="http://www.planalto.gov.br/ccivil_03/_Ato2011-2014/2013/Lei/L12863.htm" TargetMode="External"/><Relationship Id="rId33" Type="http://schemas.openxmlformats.org/officeDocument/2006/relationships/hyperlink" Target="http://www.planalto.gov.br/ccivil_03/_Ato2011-2014/2013/Lei/L12863.htm" TargetMode="External"/><Relationship Id="rId38" Type="http://schemas.openxmlformats.org/officeDocument/2006/relationships/hyperlink" Target="http://www.planalto.gov.br/ccivil_03/_Ato2011-2014/2013/Lei/L12863.htm" TargetMode="External"/><Relationship Id="rId46" Type="http://schemas.openxmlformats.org/officeDocument/2006/relationships/hyperlink" Target="http://www.planalto.gov.br/ccivil_03/_Ato2007-2010/2010/Lei/L12349.htm" TargetMode="External"/><Relationship Id="rId59" Type="http://schemas.openxmlformats.org/officeDocument/2006/relationships/hyperlink" Target="http://www.planalto.gov.br/ccivil_03/_Ato2007-2010/2010/Lei/L12349.htm" TargetMode="External"/><Relationship Id="rId67" Type="http://schemas.openxmlformats.org/officeDocument/2006/relationships/hyperlink" Target="http://www.planalto.gov.br/ccivil_03/_Ato2011-2014/2013/Lei/L12863.htm" TargetMode="External"/><Relationship Id="rId20" Type="http://schemas.openxmlformats.org/officeDocument/2006/relationships/hyperlink" Target="http://www.planalto.gov.br/ccivil_03/_Ato2011-2014/2013/Lei/L12863.htm" TargetMode="External"/><Relationship Id="rId41" Type="http://schemas.openxmlformats.org/officeDocument/2006/relationships/hyperlink" Target="http://www.planalto.gov.br/ccivil_03/_Ato2011-2014/2013/Lei/L12863.htm" TargetMode="External"/><Relationship Id="rId54" Type="http://schemas.openxmlformats.org/officeDocument/2006/relationships/hyperlink" Target="http://www.planalto.gov.br/ccivil_03/_Ato2011-2014/2012/Lei/L12772.htm" TargetMode="External"/><Relationship Id="rId62" Type="http://schemas.openxmlformats.org/officeDocument/2006/relationships/hyperlink" Target="http://www.planalto.gov.br/ccivil_03/_Ato2011-2014/2013/Lei/L12863.htm" TargetMode="External"/><Relationship Id="rId70" Type="http://schemas.openxmlformats.org/officeDocument/2006/relationships/hyperlink" Target="http://www.planalto.gov.br/ccivil_03/_Ato2011-2014/2013/Lei/L12863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07-2010/2010/Decreto/D742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3619</Words>
  <Characters>19546</Characters>
  <Application>Microsoft Office Word</Application>
  <DocSecurity>0</DocSecurity>
  <Lines>162</Lines>
  <Paragraphs>46</Paragraphs>
  <ScaleCrop>false</ScaleCrop>
  <Company/>
  <LinksUpToDate>false</LinksUpToDate>
  <CharactersWithSpaces>23119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ibiapina</dc:creator>
  <cp:lastModifiedBy>ibiapina</cp:lastModifiedBy>
  <cp:revision>2</cp:revision>
  <dcterms:created xsi:type="dcterms:W3CDTF">2014-08-26T14:40:00Z</dcterms:created>
  <dcterms:modified xsi:type="dcterms:W3CDTF">2014-08-26T14:40:00Z</dcterms:modified>
</cp:coreProperties>
</file>